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  <w:drawing>
          <wp:inline distB="114300" distT="114300" distL="114300" distR="114300">
            <wp:extent cx="1009650" cy="14113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11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</w:pPr>
      <w:r w:rsidDel="00000000" w:rsidR="00000000" w:rsidRPr="00000000">
        <w:rPr>
          <w:rFonts w:ascii="Roboto" w:cs="Roboto" w:eastAsia="Roboto" w:hAnsi="Roboto"/>
          <w:b w:val="1"/>
          <w:color w:val="005148"/>
          <w:sz w:val="44"/>
          <w:szCs w:val="44"/>
          <w:rtl w:val="0"/>
        </w:rPr>
        <w:t xml:space="preserve">Chairperson</w:t>
        <w:br w:type="textWrapping"/>
      </w:r>
      <w:r w:rsidDel="00000000" w:rsidR="00000000" w:rsidRPr="00000000">
        <w:rPr>
          <w:rFonts w:ascii="Roboto" w:cs="Roboto" w:eastAsia="Roboto" w:hAnsi="Roboto"/>
          <w:color w:val="005148"/>
          <w:sz w:val="44"/>
          <w:szCs w:val="44"/>
          <w:rtl w:val="0"/>
        </w:rPr>
        <w:t xml:space="preserve">Job Description</w:t>
      </w:r>
      <w:r w:rsidDel="00000000" w:rsidR="00000000" w:rsidRPr="00000000">
        <w:rPr>
          <w:rFonts w:ascii="Roboto" w:cs="Roboto" w:eastAsia="Roboto" w:hAnsi="Roboto"/>
          <w:color w:val="005148"/>
          <w:sz w:val="26"/>
          <w:szCs w:val="26"/>
          <w:rtl w:val="0"/>
        </w:rPr>
        <w:t xml:space="preserve">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Qualifications: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5148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‬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The Chairperson should have a </w:t>
      </w:r>
      <w:r w:rsidDel="00000000" w:rsidR="00000000" w:rsidRPr="00000000">
        <w:rPr>
          <w:rFonts w:ascii="Verdana" w:cs="Verdana" w:eastAsia="Verdana" w:hAnsi="Verdana"/>
          <w:i w:val="1"/>
          <w:sz w:val="26"/>
          <w:szCs w:val="26"/>
          <w:rtl w:val="0"/>
        </w:rPr>
        <w:t xml:space="preserve">reasonable period of sobriety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, as determined by the Intergroup Committee.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The Chair is responsible for leading, motivating, and providing a clear path forward for Intergroup.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They are responsible for running monthly meetings and keeping order.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They ensure that members understand their roles and responsibilities in service to the Intergroup and the wider SAA Fellowship.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Most importantly, the Chair’s duty is to see that Intergroup operates in alignment with the </w:t>
      </w:r>
      <w:r w:rsidDel="00000000" w:rsidR="00000000" w:rsidRPr="00000000">
        <w:rPr>
          <w:rFonts w:ascii="Verdana" w:cs="Verdana" w:eastAsia="Verdana" w:hAnsi="Verdana"/>
          <w:i w:val="1"/>
          <w:sz w:val="26"/>
          <w:szCs w:val="26"/>
          <w:rtl w:val="0"/>
        </w:rPr>
        <w:t xml:space="preserve">Twelve Traditions of SAA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Estimated Time Commitment: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4-5 hours/month of preparation and communication</w:t>
      </w:r>
      <w:r w:rsidDel="00000000" w:rsidR="00000000" w:rsidRPr="00000000">
        <w:rPr>
          <w:rFonts w:ascii="Verdana" w:cs="Verdana" w:eastAsia="Verdana" w:hAnsi="Verdana"/>
          <w:i w:val="1"/>
          <w:sz w:val="26"/>
          <w:szCs w:val="26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Note: This position requires access to a computer and internet connection.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rPr>
          <w:rFonts w:ascii="Verdana" w:cs="Verdana" w:eastAsia="Verdana" w:hAnsi="Verdana"/>
          <w:sz w:val="24"/>
          <w:szCs w:val="24"/>
          <w:shd w:fill="ea9999" w:val="clear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Position Duties/Responsibilities: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Attend and chair all monthly Intergroup meetings,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maintaining a steady, respectful flow and adhering to scheduled times (7:00–8:30pm). If an extension is needed, request a group conscience.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Ensure there is a Secretary present to take minutes at each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Maintain and update the Intergroup </w:t>
      </w:r>
      <w:r w:rsidDel="00000000" w:rsidR="00000000" w:rsidRPr="00000000">
        <w:rPr>
          <w:rFonts w:ascii="Verdana" w:cs="Verdana" w:eastAsia="Verdana" w:hAnsi="Verdana"/>
          <w:i w:val="1"/>
          <w:sz w:val="26"/>
          <w:szCs w:val="26"/>
          <w:rtl w:val="0"/>
        </w:rPr>
        <w:t xml:space="preserve">Meeting Master List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, including which groups have Intergroup Reps and GSRs.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Check the SAA Intergroup webmail account at least once per week and respond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Correspondence with other reps as needed.</w:t>
      </w:r>
    </w:p>
    <w:sectPr>
      <w:pgSz w:h="15840" w:w="12240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